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323FBC" w:rsidRPr="008A0368" w14:paraId="07141A0B" w14:textId="77777777">
        <w:trPr>
          <w:trHeight w:val="45"/>
        </w:trPr>
        <w:tc>
          <w:tcPr>
            <w:tcW w:w="7655" w:type="dxa"/>
          </w:tcPr>
          <w:p w14:paraId="0A378BC7" w14:textId="77777777" w:rsidR="00323FBC" w:rsidRPr="008A0368" w:rsidRDefault="00323FBC">
            <w:pPr>
              <w:rPr>
                <w:lang w:val="en-US"/>
              </w:rPr>
            </w:pPr>
          </w:p>
        </w:tc>
        <w:tc>
          <w:tcPr>
            <w:tcW w:w="1724" w:type="dxa"/>
          </w:tcPr>
          <w:p w14:paraId="0FFA0EBD" w14:textId="77777777" w:rsidR="00323FBC" w:rsidRPr="008A0368" w:rsidRDefault="002952DD">
            <w:pPr>
              <w:pStyle w:val="BusinessArea"/>
              <w:rPr>
                <w:lang w:val="en-US"/>
              </w:rPr>
            </w:pPr>
            <w:r w:rsidRPr="008A0368">
              <w:rPr>
                <w:lang w:val="en-US"/>
              </w:rPr>
              <w:t>Steel Europe</w:t>
            </w:r>
          </w:p>
        </w:tc>
      </w:tr>
      <w:tr w:rsidR="00323FBC" w:rsidRPr="008A0368" w14:paraId="280D5A9C" w14:textId="77777777">
        <w:trPr>
          <w:trHeight w:val="408"/>
        </w:trPr>
        <w:tc>
          <w:tcPr>
            <w:tcW w:w="7655" w:type="dxa"/>
          </w:tcPr>
          <w:p w14:paraId="2937C002" w14:textId="77777777" w:rsidR="00323FBC" w:rsidRPr="008A0368" w:rsidRDefault="00323FBC">
            <w:pPr>
              <w:rPr>
                <w:lang w:val="en-US"/>
              </w:rPr>
            </w:pPr>
          </w:p>
        </w:tc>
        <w:tc>
          <w:tcPr>
            <w:tcW w:w="1724" w:type="dxa"/>
          </w:tcPr>
          <w:p w14:paraId="5ACDE66A" w14:textId="77777777" w:rsidR="00323FBC" w:rsidRPr="008A0368" w:rsidRDefault="00323FBC">
            <w:pPr>
              <w:pStyle w:val="BusinessArea"/>
              <w:rPr>
                <w:lang w:val="en-US"/>
              </w:rPr>
            </w:pPr>
          </w:p>
        </w:tc>
      </w:tr>
      <w:tr w:rsidR="00323FBC" w:rsidRPr="008A0368" w14:paraId="1A0E5F6F" w14:textId="77777777">
        <w:trPr>
          <w:trHeight w:val="992"/>
        </w:trPr>
        <w:tc>
          <w:tcPr>
            <w:tcW w:w="7655" w:type="dxa"/>
          </w:tcPr>
          <w:p w14:paraId="2359CDF1" w14:textId="77777777" w:rsidR="00323FBC" w:rsidRPr="008A0368" w:rsidRDefault="00323FBC">
            <w:pPr>
              <w:pStyle w:val="Absenderadresse1"/>
              <w:rPr>
                <w:lang w:val="en-US"/>
              </w:rPr>
            </w:pPr>
          </w:p>
        </w:tc>
        <w:tc>
          <w:tcPr>
            <w:tcW w:w="1724" w:type="dxa"/>
          </w:tcPr>
          <w:p w14:paraId="473E6407" w14:textId="77079520" w:rsidR="00323FBC" w:rsidRPr="008A0368" w:rsidRDefault="002952DD">
            <w:pPr>
              <w:pStyle w:val="Datumsangabe"/>
              <w:rPr>
                <w:lang w:val="en-US"/>
              </w:rPr>
            </w:pPr>
            <w:r w:rsidRPr="008A0368">
              <w:rPr>
                <w:lang w:val="en-US"/>
              </w:rPr>
              <w:t>April 11, 2024</w:t>
            </w:r>
          </w:p>
          <w:p w14:paraId="3F903357" w14:textId="6E3E0E32" w:rsidR="00323FBC" w:rsidRPr="008A0368" w:rsidRDefault="002952DD">
            <w:pPr>
              <w:pStyle w:val="Seitenzahlangabe"/>
              <w:rPr>
                <w:lang w:val="en-US"/>
              </w:rPr>
            </w:pPr>
            <w:r w:rsidRPr="008A0368">
              <w:rPr>
                <w:lang w:val="en-US"/>
              </w:rPr>
              <w:t xml:space="preserve">Page </w:t>
            </w:r>
            <w:r w:rsidRPr="008A0368">
              <w:rPr>
                <w:lang w:val="en-US"/>
              </w:rPr>
              <w:fldChar w:fldCharType="begin"/>
            </w:r>
            <w:r w:rsidRPr="008A0368">
              <w:rPr>
                <w:lang w:val="en-US"/>
              </w:rPr>
              <w:instrText xml:space="preserve"> PAGE   \* MERGEFORMAT </w:instrText>
            </w:r>
            <w:r w:rsidRPr="008A0368">
              <w:rPr>
                <w:lang w:val="en-US"/>
              </w:rPr>
              <w:fldChar w:fldCharType="separate"/>
            </w:r>
            <w:r w:rsidR="001D0C3C">
              <w:rPr>
                <w:noProof/>
                <w:lang w:val="en-US"/>
              </w:rPr>
              <w:t>1</w:t>
            </w:r>
            <w:r w:rsidRPr="008A0368">
              <w:rPr>
                <w:lang w:val="en-US"/>
              </w:rPr>
              <w:fldChar w:fldCharType="end"/>
            </w:r>
            <w:r w:rsidRPr="008A0368">
              <w:rPr>
                <w:lang w:val="en-US"/>
              </w:rPr>
              <w:t>/2</w:t>
            </w:r>
          </w:p>
        </w:tc>
      </w:tr>
    </w:tbl>
    <w:p w14:paraId="346FDC19" w14:textId="11243AFF" w:rsidR="00323FBC" w:rsidRPr="008A0368" w:rsidRDefault="002020D0">
      <w:pPr>
        <w:pStyle w:val="StandardWeb1"/>
        <w:spacing w:line="360" w:lineRule="auto"/>
        <w:jc w:val="both"/>
        <w:rPr>
          <w:rFonts w:ascii="TKTypeRegular" w:hAnsi="TKTypeRegular"/>
          <w:b/>
          <w:sz w:val="20"/>
          <w:lang w:val="en-US"/>
        </w:rPr>
      </w:pPr>
      <w:r>
        <w:rPr>
          <w:rFonts w:ascii="TKTypeRegular" w:hAnsi="TKTypeRegular"/>
          <w:b/>
          <w:sz w:val="20"/>
          <w:lang w:val="en-US"/>
        </w:rPr>
        <w:t>thyssenkrupp Steel Executive Board reacts to challenging market conditions and presents initial conceptual outlines of a structural re</w:t>
      </w:r>
      <w:r w:rsidR="0032436F">
        <w:rPr>
          <w:rFonts w:ascii="TKTypeRegular" w:hAnsi="TKTypeRegular"/>
          <w:b/>
          <w:sz w:val="20"/>
          <w:lang w:val="en-US"/>
        </w:rPr>
        <w:t>alignment</w:t>
      </w:r>
      <w:r>
        <w:rPr>
          <w:rFonts w:ascii="TKTypeRegular" w:hAnsi="TKTypeRegular"/>
          <w:b/>
          <w:sz w:val="20"/>
          <w:lang w:val="en-US"/>
        </w:rPr>
        <w:t>: Duisburg’s production capacity to be scaled back significantly. Far-reaching optimizations in the production network aimed to considerably boost competitiveness and profitability</w:t>
      </w:r>
    </w:p>
    <w:p w14:paraId="19A8AB01" w14:textId="77777777" w:rsidR="00EF3579" w:rsidRPr="008A0368" w:rsidRDefault="00EF3579" w:rsidP="00EF3579">
      <w:pPr>
        <w:pStyle w:val="P68B1DB1-Standard3"/>
        <w:spacing w:line="256" w:lineRule="auto"/>
        <w:contextualSpacing/>
        <w:jc w:val="both"/>
        <w:rPr>
          <w:color w:val="auto"/>
          <w:lang w:val="en-US"/>
        </w:rPr>
      </w:pPr>
      <w:r w:rsidRPr="008A0368">
        <w:rPr>
          <w:lang w:val="en-US"/>
        </w:rPr>
        <w:t xml:space="preserve">The Executive Board of thyssenkrupp Steel today presented initial conceptual outlines of a planned realignment of steel operations to the tk Steel Supervisory Board's Strategy Committee. The aim is to make thyssenkrupp Steel fit for the future against the background of persistently challenging market conditions. The core element of the realignment will lie in the scaling back of the production capacities installed in the network </w:t>
      </w:r>
      <w:r w:rsidRPr="00D04D4A">
        <w:rPr>
          <w:lang w:val="en-US"/>
        </w:rPr>
        <w:t>to a shipping corridor of between approx. 9 and  9.5 million metric tons per year, a figure approximately equating to the shipping level registered over the past three years. By contrast, the current production capacity is configured for a shipping volume of around 11.5 million metric tons. Essential elements of tk Steel's Strategy 20-30 pursued to date are also confirmed for restructuring</w:t>
      </w:r>
      <w:r w:rsidRPr="008A0368">
        <w:rPr>
          <w:lang w:val="en-US"/>
        </w:rPr>
        <w:t>: the focus on premium grades as well as thinner and stronger materials remains in place. Topics such as the energy transition and electr</w:t>
      </w:r>
      <w:r>
        <w:rPr>
          <w:lang w:val="en-US"/>
        </w:rPr>
        <w:t xml:space="preserve">ic </w:t>
      </w:r>
      <w:r w:rsidRPr="008A0368">
        <w:rPr>
          <w:lang w:val="en-US"/>
        </w:rPr>
        <w:t xml:space="preserve">mobility will likewise remain in focus. </w:t>
      </w:r>
    </w:p>
    <w:p w14:paraId="76B5099F" w14:textId="77777777" w:rsidR="00EF3579" w:rsidRPr="008A0368" w:rsidRDefault="00EF3579" w:rsidP="00EF3579">
      <w:pPr>
        <w:spacing w:line="256" w:lineRule="auto"/>
        <w:contextualSpacing/>
        <w:jc w:val="both"/>
        <w:rPr>
          <w:rFonts w:ascii="TKTypeRegular" w:hAnsi="TKTypeRegular"/>
          <w:lang w:val="en-US"/>
        </w:rPr>
      </w:pPr>
    </w:p>
    <w:p w14:paraId="1A3F04D0" w14:textId="77777777" w:rsidR="00EF3579" w:rsidRPr="008A0368" w:rsidRDefault="00EF3579" w:rsidP="00EF3579">
      <w:pPr>
        <w:pStyle w:val="P68B1DB1-Standard3"/>
        <w:spacing w:line="256" w:lineRule="auto"/>
        <w:contextualSpacing/>
        <w:jc w:val="both"/>
        <w:rPr>
          <w:b/>
          <w:sz w:val="22"/>
          <w:lang w:val="en-US"/>
        </w:rPr>
      </w:pPr>
      <w:r w:rsidRPr="008A0368">
        <w:rPr>
          <w:lang w:val="en-US"/>
        </w:rPr>
        <w:t>With the planned realignment, Germany's largest steel company is responding on the one hand to the persistently weak state of the economy, but primarily to fundamental medium and long-term structural changes in the European steel market and in crucial customer and target markets. These include, among other things – especially in Germany –  the continuing upward trajectory of energy costs owing to climate policy objectives, as well as unchecked rising import pressure, mainly from Asia, and an ongoing deterioration in the steel trade balance, which in aggregate are making for reduced industry competitiveness. thyssenkrupp Steel has assessed these factors in a detailed analysis, supported by an independent external expert report. Against this background, shipping volumes are expected to remain at the level registered over recent years in the future as well. In comparison, the total production capacity still installed today is far too high, meaning that the entire production network is structurally underutilized</w:t>
      </w:r>
      <w:r w:rsidRPr="008A0368">
        <w:rPr>
          <w:b/>
          <w:lang w:val="en-US"/>
        </w:rPr>
        <w:t>.</w:t>
      </w:r>
    </w:p>
    <w:p w14:paraId="7EA85056" w14:textId="77777777" w:rsidR="00EF3579" w:rsidRPr="008A0368" w:rsidRDefault="00EF3579" w:rsidP="00EF3579">
      <w:pPr>
        <w:spacing w:line="256" w:lineRule="auto"/>
        <w:contextualSpacing/>
        <w:jc w:val="both"/>
        <w:rPr>
          <w:rFonts w:ascii="TKTypeRegular" w:hAnsi="TKTypeRegular"/>
          <w:lang w:val="en-US"/>
        </w:rPr>
      </w:pPr>
    </w:p>
    <w:p w14:paraId="1A1EFCF7" w14:textId="77777777" w:rsidR="00EF3579" w:rsidRPr="008A0368" w:rsidRDefault="00EF3579" w:rsidP="00EF3579">
      <w:pPr>
        <w:pStyle w:val="P68B1DB1-Standard3"/>
        <w:spacing w:line="256" w:lineRule="auto"/>
        <w:contextualSpacing/>
        <w:jc w:val="both"/>
        <w:rPr>
          <w:lang w:val="en-US"/>
        </w:rPr>
      </w:pPr>
      <w:r w:rsidRPr="008A0368">
        <w:rPr>
          <w:lang w:val="en-US"/>
        </w:rPr>
        <w:t xml:space="preserve">The planned scaling back of production capacities will make for a consolidation of the crude-steel capacities in Duisburg. These measures will also entail job cuts that cannot yet be quantified; this will also affect the downstream processing stages as well as the administrative and service areas. The planned measures are essential toward maintaining competitiveness so as to lead the steel production operations at the Duisburg location into a secure future, create a strong foundation for long-term employment and establish a resilient supply of steel to drive industrial growth in Germany. </w:t>
      </w:r>
    </w:p>
    <w:p w14:paraId="31DB3DD0" w14:textId="77777777" w:rsidR="00EF3579" w:rsidRPr="008A0368" w:rsidRDefault="00EF3579" w:rsidP="00EF3579">
      <w:pPr>
        <w:pStyle w:val="P68B1DB1-Standard3"/>
        <w:spacing w:line="256" w:lineRule="auto"/>
        <w:contextualSpacing/>
        <w:jc w:val="both"/>
        <w:rPr>
          <w:lang w:val="en-US"/>
        </w:rPr>
      </w:pPr>
      <w:r w:rsidRPr="008A0368">
        <w:rPr>
          <w:lang w:val="en-US"/>
        </w:rPr>
        <w:t xml:space="preserve">The declared goal is to continue avoiding redundancies for operational reasons. The plans for the restructuring will now be put in concrete terms </w:t>
      </w:r>
      <w:r>
        <w:rPr>
          <w:lang w:val="en-US"/>
        </w:rPr>
        <w:t xml:space="preserve">right away </w:t>
      </w:r>
      <w:r w:rsidRPr="008A0368">
        <w:rPr>
          <w:lang w:val="en-US"/>
        </w:rPr>
        <w:t xml:space="preserve">and then </w:t>
      </w:r>
      <w:r>
        <w:rPr>
          <w:lang w:val="en-US"/>
        </w:rPr>
        <w:t>consulted upon</w:t>
      </w:r>
      <w:r w:rsidRPr="008A0368">
        <w:rPr>
          <w:lang w:val="en-US"/>
        </w:rPr>
        <w:t xml:space="preserve"> with the workforce representation and the responsible committees</w:t>
      </w:r>
      <w:r>
        <w:rPr>
          <w:lang w:val="en-US"/>
        </w:rPr>
        <w:t xml:space="preserve"> of the steel division.</w:t>
      </w:r>
      <w:r w:rsidRPr="008A0368">
        <w:rPr>
          <w:lang w:val="en-US"/>
        </w:rPr>
        <w:t xml:space="preserve"> </w:t>
      </w:r>
    </w:p>
    <w:p w14:paraId="42DF233D" w14:textId="77777777" w:rsidR="00EF3579" w:rsidRPr="008A0368" w:rsidRDefault="00EF3579" w:rsidP="00EF3579">
      <w:pPr>
        <w:pStyle w:val="P68B1DB1-Standard3"/>
        <w:spacing w:line="256" w:lineRule="auto"/>
        <w:contextualSpacing/>
        <w:jc w:val="both"/>
        <w:rPr>
          <w:lang w:val="en-US"/>
        </w:rPr>
      </w:pPr>
    </w:p>
    <w:p w14:paraId="0557AA5D" w14:textId="77777777" w:rsidR="00EF3579" w:rsidRPr="008A0368" w:rsidRDefault="00EF3579" w:rsidP="00EF3579">
      <w:pPr>
        <w:spacing w:line="256" w:lineRule="auto"/>
        <w:contextualSpacing/>
        <w:jc w:val="both"/>
        <w:rPr>
          <w:rFonts w:ascii="TKTypeRegular" w:hAnsi="TKTypeRegular"/>
          <w:lang w:val="en-US"/>
        </w:rPr>
      </w:pPr>
    </w:p>
    <w:p w14:paraId="0F2F650A" w14:textId="77777777" w:rsidR="00EF3579" w:rsidRPr="008A0368" w:rsidRDefault="00EF3579" w:rsidP="00EF3579">
      <w:pPr>
        <w:pStyle w:val="P68B1DB1-Standard3"/>
        <w:spacing w:line="256" w:lineRule="auto"/>
        <w:contextualSpacing/>
        <w:jc w:val="both"/>
        <w:rPr>
          <w:lang w:val="en-US"/>
        </w:rPr>
      </w:pPr>
      <w:r w:rsidRPr="008A0368">
        <w:rPr>
          <w:lang w:val="en-US"/>
        </w:rPr>
        <w:lastRenderedPageBreak/>
        <w:t xml:space="preserve">Basically, thyssenkrupp Steel’s strategic goal remains to finance itself sustainably from its own earning power, and thus to further improve the company's capital market viability. Until the planned structural measures kick in and take effect, the current performance programs will be further intensified in order to achieve the earnings effects already required right now. </w:t>
      </w:r>
    </w:p>
    <w:p w14:paraId="2843ED67" w14:textId="77777777" w:rsidR="00EF3579" w:rsidRPr="008A0368" w:rsidRDefault="00EF3579" w:rsidP="00EF3579">
      <w:pPr>
        <w:spacing w:line="256" w:lineRule="auto"/>
        <w:contextualSpacing/>
        <w:jc w:val="both"/>
        <w:rPr>
          <w:rFonts w:ascii="TKTypeRegular" w:hAnsi="TKTypeRegular"/>
          <w:b/>
          <w:lang w:val="en-US"/>
        </w:rPr>
      </w:pPr>
    </w:p>
    <w:p w14:paraId="50F747CE" w14:textId="77777777" w:rsidR="00EF3579" w:rsidRPr="008A0368" w:rsidRDefault="00EF3579" w:rsidP="00EF3579">
      <w:pPr>
        <w:pStyle w:val="P68B1DB1-Standard3"/>
        <w:spacing w:line="256" w:lineRule="auto"/>
        <w:contextualSpacing/>
        <w:jc w:val="both"/>
        <w:rPr>
          <w:lang w:val="en-US"/>
        </w:rPr>
      </w:pPr>
      <w:r w:rsidRPr="008A0368">
        <w:rPr>
          <w:lang w:val="en-US"/>
        </w:rPr>
        <w:t xml:space="preserve">There will be no changes to the already initiated implementation of the green transformation. The construction of the first direct reduction plant at the Duisburg site will continue as planned, supported by the funding released by the federal and state governments for this purpose and essentially relating to the ambitious ramp-up of the plant's hydrogen-based operation. The goal of fully climate-neutral production by 2045 at the latest remains unrestrictedly in place. </w:t>
      </w:r>
    </w:p>
    <w:p w14:paraId="398A9D4D" w14:textId="77777777" w:rsidR="00EF3579" w:rsidRPr="008A0368" w:rsidRDefault="00EF3579" w:rsidP="00EF3579">
      <w:pPr>
        <w:pBdr>
          <w:top w:val="nil"/>
          <w:left w:val="nil"/>
          <w:bottom w:val="nil"/>
          <w:right w:val="nil"/>
          <w:between w:val="nil"/>
        </w:pBdr>
        <w:spacing w:line="240" w:lineRule="auto"/>
        <w:jc w:val="both"/>
        <w:rPr>
          <w:rFonts w:cstheme="minorHAnsi"/>
          <w:lang w:val="en-US"/>
        </w:rPr>
      </w:pPr>
    </w:p>
    <w:p w14:paraId="15C1694B" w14:textId="77777777" w:rsidR="00EF3579" w:rsidRPr="008A0368" w:rsidRDefault="00EF3579" w:rsidP="00EF3579">
      <w:pPr>
        <w:pStyle w:val="P68B1DB1-StandardWeb14"/>
        <w:spacing w:after="0" w:line="288" w:lineRule="auto"/>
        <w:jc w:val="both"/>
        <w:rPr>
          <w:lang w:val="en-US"/>
        </w:rPr>
      </w:pPr>
      <w:r w:rsidRPr="008A0368">
        <w:rPr>
          <w:lang w:val="en-US"/>
        </w:rPr>
        <w:t>Contact person:</w:t>
      </w:r>
      <w:r w:rsidRPr="008A0368">
        <w:rPr>
          <w:lang w:val="en-US"/>
        </w:rPr>
        <w:tab/>
      </w:r>
    </w:p>
    <w:p w14:paraId="37F11F50" w14:textId="77777777" w:rsidR="00EF3579" w:rsidRPr="008A0368" w:rsidRDefault="00EF3579" w:rsidP="00EF3579">
      <w:pPr>
        <w:pStyle w:val="P68B1DB1-Standard5"/>
        <w:rPr>
          <w:lang w:val="en-US"/>
        </w:rPr>
      </w:pPr>
      <w:r w:rsidRPr="008A0368">
        <w:rPr>
          <w:lang w:val="en-US"/>
        </w:rPr>
        <w:t xml:space="preserve">thyssenkrupp Steel </w:t>
      </w:r>
    </w:p>
    <w:p w14:paraId="384B1B53" w14:textId="77777777" w:rsidR="00EF3579" w:rsidRPr="008A0368" w:rsidRDefault="00EF3579" w:rsidP="00EF3579">
      <w:pPr>
        <w:pStyle w:val="P68B1DB1-Standard5"/>
        <w:rPr>
          <w:color w:val="auto"/>
          <w:lang w:val="en-US"/>
        </w:rPr>
      </w:pPr>
      <w:r w:rsidRPr="008A0368">
        <w:rPr>
          <w:lang w:val="en-US"/>
        </w:rPr>
        <w:t>Mark Stagge</w:t>
      </w:r>
    </w:p>
    <w:p w14:paraId="34642222" w14:textId="77777777" w:rsidR="00EF3579" w:rsidRPr="008A0368" w:rsidRDefault="00EF3579" w:rsidP="00EF3579">
      <w:pPr>
        <w:pStyle w:val="P68B1DB1-Standard5"/>
        <w:rPr>
          <w:lang w:val="en-US"/>
        </w:rPr>
      </w:pPr>
      <w:r w:rsidRPr="008A0368">
        <w:rPr>
          <w:lang w:val="en-US"/>
        </w:rPr>
        <w:t xml:space="preserve">Head of Public and Media Relations </w:t>
      </w:r>
    </w:p>
    <w:p w14:paraId="007E4A2C" w14:textId="77777777" w:rsidR="00EF3579" w:rsidRPr="00F51A76" w:rsidRDefault="00EF3579" w:rsidP="00EF3579">
      <w:pPr>
        <w:pStyle w:val="P68B1DB1-Standard6"/>
        <w:spacing w:line="288" w:lineRule="auto"/>
        <w:rPr>
          <w:rFonts w:hAnsiTheme="majorHAnsi"/>
        </w:rPr>
      </w:pPr>
      <w:r w:rsidRPr="00F51A76">
        <w:t>T: +49 203 52</w:t>
      </w:r>
      <w:r w:rsidRPr="00F51A76">
        <w:t> </w:t>
      </w:r>
      <w:r w:rsidRPr="00F51A76">
        <w:t>-</w:t>
      </w:r>
      <w:r w:rsidRPr="00F51A76">
        <w:t> </w:t>
      </w:r>
      <w:r w:rsidRPr="00F51A76">
        <w:t>25159</w:t>
      </w:r>
    </w:p>
    <w:p w14:paraId="07F028F8" w14:textId="77777777" w:rsidR="00EF3579" w:rsidRPr="00F51A76" w:rsidRDefault="00000000" w:rsidP="00EF3579">
      <w:pPr>
        <w:spacing w:line="288" w:lineRule="auto"/>
        <w:rPr>
          <w:rFonts w:asciiTheme="majorHAnsi" w:hAnsiTheme="majorHAnsi"/>
        </w:rPr>
      </w:pPr>
      <w:hyperlink r:id="rId11" w:history="1">
        <w:r w:rsidR="00EF3579" w:rsidRPr="00F51A76">
          <w:rPr>
            <w:rStyle w:val="Hyperlink"/>
            <w:rFonts w:asciiTheme="majorHAnsi" w:hAnsiTheme="majorHAnsi"/>
          </w:rPr>
          <w:t>mark.stagge@thyssenkrupp.com</w:t>
        </w:r>
      </w:hyperlink>
    </w:p>
    <w:p w14:paraId="2360614D" w14:textId="77777777" w:rsidR="00EF3579" w:rsidRPr="00F51A76" w:rsidRDefault="00000000" w:rsidP="00EF3579">
      <w:pPr>
        <w:spacing w:line="288" w:lineRule="auto"/>
        <w:rPr>
          <w:rFonts w:asciiTheme="majorHAnsi" w:hAnsiTheme="majorHAnsi"/>
          <w:color w:val="0563C1" w:themeColor="hyperlink"/>
          <w:u w:val="single"/>
        </w:rPr>
      </w:pPr>
      <w:hyperlink r:id="rId12" w:history="1">
        <w:r w:rsidR="00EF3579" w:rsidRPr="00F51A76">
          <w:rPr>
            <w:rStyle w:val="Hyperlink"/>
            <w:rFonts w:asciiTheme="majorHAnsi" w:hAnsiTheme="majorHAnsi"/>
          </w:rPr>
          <w:t>www.thyssenkrupp-steel.com</w:t>
        </w:r>
      </w:hyperlink>
    </w:p>
    <w:p w14:paraId="43819696" w14:textId="77777777" w:rsidR="00EF3579" w:rsidRPr="00F51A76" w:rsidRDefault="00EF3579" w:rsidP="00EF3579">
      <w:pPr>
        <w:spacing w:line="288" w:lineRule="auto"/>
        <w:jc w:val="both"/>
      </w:pPr>
    </w:p>
    <w:p w14:paraId="5D7ABEE3" w14:textId="77777777" w:rsidR="00EF3579" w:rsidRPr="00F51A76" w:rsidRDefault="00EF3579" w:rsidP="00EF3579">
      <w:pPr>
        <w:spacing w:line="288" w:lineRule="auto"/>
        <w:jc w:val="both"/>
      </w:pPr>
    </w:p>
    <w:p w14:paraId="3BCECB83" w14:textId="77777777" w:rsidR="00323FBC" w:rsidRPr="008A0368" w:rsidRDefault="00323FBC">
      <w:pPr>
        <w:pStyle w:val="xmsonormal"/>
        <w:spacing w:before="100"/>
        <w:ind w:left="357"/>
        <w:jc w:val="both"/>
        <w:rPr>
          <w:rFonts w:asciiTheme="minorHAnsi" w:hAnsiTheme="minorHAnsi" w:cstheme="minorHAnsi"/>
          <w:color w:val="000000" w:themeColor="text1"/>
          <w:sz w:val="20"/>
          <w:lang w:val="en-US"/>
        </w:rPr>
      </w:pPr>
    </w:p>
    <w:sectPr w:rsidR="00323FBC" w:rsidRPr="008A0368">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4065" w14:textId="77777777" w:rsidR="002F1167" w:rsidRDefault="002F1167">
      <w:pPr>
        <w:spacing w:line="240" w:lineRule="auto"/>
      </w:pPr>
      <w:r>
        <w:separator/>
      </w:r>
    </w:p>
  </w:endnote>
  <w:endnote w:type="continuationSeparator" w:id="0">
    <w:p w14:paraId="34710635" w14:textId="77777777" w:rsidR="002F1167" w:rsidRDefault="002F1167">
      <w:pPr>
        <w:spacing w:line="240" w:lineRule="auto"/>
      </w:pPr>
      <w:r>
        <w:continuationSeparator/>
      </w:r>
    </w:p>
  </w:endnote>
  <w:endnote w:type="continuationNotice" w:id="1">
    <w:p w14:paraId="20535ABD" w14:textId="77777777" w:rsidR="002F1167" w:rsidRDefault="002F11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323FBC" w:rsidRDefault="002952DD">
    <w:pPr>
      <w:pStyle w:val="Fuzeile"/>
    </w:pPr>
    <w:r>
      <w:rPr>
        <w:noProof/>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00362" w14:textId="77777777" w:rsidR="00323FBC" w:rsidRDefault="002952DD">
                          <w:pPr>
                            <w:pStyle w:val="P68B1DB1-Fuzeile7"/>
                          </w:pPr>
                          <w:r>
                            <w:t>thyssenkrupp Steel Europe AG, Kaiser-Wilhelm-Strasse 100, 47166 Duisburg, Germany, T: +49 203 52 -25168, press-steel@thyssenkrupp.com, www.thyssenkrupp-steel.com</w:t>
                          </w:r>
                        </w:p>
                        <w:p w14:paraId="518E949A" w14:textId="77777777" w:rsidR="00323FBC" w:rsidRPr="003645EF" w:rsidRDefault="002952DD">
                          <w:pPr>
                            <w:pStyle w:val="P68B1DB1-Fuzeile7"/>
                            <w:rPr>
                              <w:lang w:val="en-US"/>
                            </w:rPr>
                          </w:pPr>
                          <w:r w:rsidRPr="003645EF">
                            <w:rPr>
                              <w:lang w:val="en-US"/>
                            </w:rPr>
                            <w:t>Chairman of the Supervisory Board: Sigmar Gabriel</w:t>
                          </w:r>
                        </w:p>
                        <w:p w14:paraId="65E7B527" w14:textId="77777777" w:rsidR="00323FBC" w:rsidRPr="002952DD" w:rsidRDefault="002952DD">
                          <w:pPr>
                            <w:pStyle w:val="Fuzeile"/>
                            <w:rPr>
                              <w:lang w:val="en-US"/>
                            </w:rPr>
                          </w:pPr>
                          <w:r w:rsidRPr="003645EF">
                            <w:rPr>
                              <w:rFonts w:asciiTheme="majorHAnsi" w:hAnsiTheme="majorHAnsi"/>
                              <w:lang w:val="en-US"/>
                            </w:rPr>
                            <w:t xml:space="preserve">Executive Board: Bernhard Osburg, Chief Executive Officer; </w:t>
                          </w:r>
                          <w:r w:rsidRPr="003645EF">
                            <w:rPr>
                              <w:lang w:val="en-US"/>
                            </w:rPr>
                            <w:t xml:space="preserve">Philipp Conze, Dr.-Ing. </w:t>
                          </w:r>
                          <w:r w:rsidRPr="002952DD">
                            <w:rPr>
                              <w:lang w:val="en-US"/>
                            </w:rPr>
                            <w:t>Heike Denecke-Arnold, Markus Grolms, Dr.-Ing. Arnd Köfler</w:t>
                          </w:r>
                        </w:p>
                        <w:p w14:paraId="051D97E0" w14:textId="77777777" w:rsidR="00323FBC" w:rsidRDefault="002952DD">
                          <w:pPr>
                            <w:pStyle w:val="P68B1DB1-Fuzeile7"/>
                          </w:pPr>
                          <w:r w:rsidRPr="003645EF">
                            <w:rPr>
                              <w:lang w:val="en-US"/>
                            </w:rPr>
                            <w:t xml:space="preserve">Registered office of the company: Duisburg, Register court: Duisburg HR B 9326-ID No. </w:t>
                          </w:r>
                          <w:r>
                            <w:t>DE 812 178 585</w:t>
                          </w:r>
                        </w:p>
                        <w:p w14:paraId="60B95284" w14:textId="77777777" w:rsidR="00323FBC" w:rsidRDefault="00323FBC">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E000362" w14:textId="77777777" w:rsidR="00323FBC" w:rsidRDefault="002952DD">
                    <w:pPr>
                      <w:pStyle w:val="P68B1DB1-Fuzeile7"/>
                    </w:pPr>
                    <w:r>
                      <w:t>thyssenkrupp Steel Europe AG, Kaiser-Wilhelm-Strasse 100, 47166 Duisburg, Germany, T: +49 203 52 -25168, press-steel@thyssenkrupp.com, www.thyssenkrupp-steel.com</w:t>
                    </w:r>
                  </w:p>
                  <w:p w14:paraId="518E949A" w14:textId="77777777" w:rsidR="00323FBC" w:rsidRPr="003645EF" w:rsidRDefault="002952DD">
                    <w:pPr>
                      <w:pStyle w:val="P68B1DB1-Fuzeile7"/>
                      <w:rPr>
                        <w:lang w:val="en-US"/>
                      </w:rPr>
                    </w:pPr>
                    <w:r w:rsidRPr="003645EF">
                      <w:rPr>
                        <w:lang w:val="en-US"/>
                      </w:rPr>
                      <w:t>Chairman of the Supervisory Board: Sigmar Gabriel</w:t>
                    </w:r>
                  </w:p>
                  <w:p w14:paraId="65E7B527" w14:textId="77777777" w:rsidR="00323FBC" w:rsidRPr="002952DD" w:rsidRDefault="002952DD">
                    <w:pPr>
                      <w:pStyle w:val="Fuzeile"/>
                      <w:rPr>
                        <w:lang w:val="en-US"/>
                      </w:rPr>
                    </w:pPr>
                    <w:r w:rsidRPr="003645EF">
                      <w:rPr>
                        <w:rFonts w:asciiTheme="majorHAnsi" w:hAnsiTheme="majorHAnsi"/>
                        <w:lang w:val="en-US"/>
                      </w:rPr>
                      <w:t xml:space="preserve">Executive Board: Bernhard Osburg, Chief Executive Officer; </w:t>
                    </w:r>
                    <w:r w:rsidRPr="003645EF">
                      <w:rPr>
                        <w:lang w:val="en-US"/>
                      </w:rPr>
                      <w:t xml:space="preserve">Philipp Conze, Dr.-Ing. </w:t>
                    </w:r>
                    <w:r w:rsidRPr="002952DD">
                      <w:rPr>
                        <w:lang w:val="en-US"/>
                      </w:rPr>
                      <w:t>Heike Denecke-Arnold, Markus Grolms, Dr.-Ing. Arnd Köfler</w:t>
                    </w:r>
                  </w:p>
                  <w:p w14:paraId="051D97E0" w14:textId="77777777" w:rsidR="00323FBC" w:rsidRDefault="002952DD">
                    <w:pPr>
                      <w:pStyle w:val="P68B1DB1-Fuzeile7"/>
                    </w:pPr>
                    <w:r w:rsidRPr="003645EF">
                      <w:rPr>
                        <w:lang w:val="en-US"/>
                      </w:rPr>
                      <w:t xml:space="preserve">Registered office of the company: Duisburg, Register court: Duisburg HR B 9326-ID No. </w:t>
                    </w:r>
                    <w:r>
                      <w:t>DE 812 178 585</w:t>
                    </w:r>
                  </w:p>
                  <w:p w14:paraId="60B95284" w14:textId="77777777" w:rsidR="00323FBC" w:rsidRDefault="00323FBC">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323FBC" w:rsidRDefault="002952DD">
    <w:pPr>
      <w:pStyle w:val="Fuzeile"/>
    </w:pPr>
    <w:r>
      <w:rPr>
        <w:noProof/>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323FBC" w:rsidRDefault="002952DD">
                          <w:pPr>
                            <w:pStyle w:val="P68B1DB1-Fuzeile7"/>
                          </w:pPr>
                          <w:r>
                            <w:t>thyssenkrupp Steel Europe AG, Kaiser-Wilhelm-Strasse 100, 47166 Duisburg, Germany, T: +49 203 52 -25168, press-steel@thyssenkrupp.com, www.thyssenkrupp-steel.com</w:t>
                          </w:r>
                        </w:p>
                        <w:p w14:paraId="4D62FA82" w14:textId="77777777" w:rsidR="00323FBC" w:rsidRPr="003645EF" w:rsidRDefault="002952DD">
                          <w:pPr>
                            <w:pStyle w:val="P68B1DB1-Fuzeile7"/>
                            <w:rPr>
                              <w:lang w:val="en-US"/>
                            </w:rPr>
                          </w:pPr>
                          <w:r w:rsidRPr="003645EF">
                            <w:rPr>
                              <w:lang w:val="en-US"/>
                            </w:rPr>
                            <w:t>Chairman of the Supervisory Board: Sigmar Gabriel</w:t>
                          </w:r>
                        </w:p>
                        <w:p w14:paraId="6ACE30E2" w14:textId="77777777" w:rsidR="00323FBC" w:rsidRPr="002952DD" w:rsidRDefault="002952DD">
                          <w:pPr>
                            <w:pStyle w:val="Fuzeile"/>
                            <w:rPr>
                              <w:lang w:val="en-US"/>
                            </w:rPr>
                          </w:pPr>
                          <w:r w:rsidRPr="003645EF">
                            <w:rPr>
                              <w:rFonts w:asciiTheme="majorHAnsi" w:hAnsiTheme="majorHAnsi"/>
                              <w:lang w:val="en-US"/>
                            </w:rPr>
                            <w:t xml:space="preserve">Executive Board: Bernhard Osburg, Chief Executive Officer; </w:t>
                          </w:r>
                          <w:r w:rsidRPr="003645EF">
                            <w:rPr>
                              <w:lang w:val="en-US"/>
                            </w:rPr>
                            <w:t xml:space="preserve">Philipp Conze, Dr.-Ing. </w:t>
                          </w:r>
                          <w:r w:rsidRPr="002952DD">
                            <w:rPr>
                              <w:lang w:val="en-US"/>
                            </w:rPr>
                            <w:t>Heike Denecke-Arnold, Markus Grolms, Dr.-Ing. Arnd Köfler</w:t>
                          </w:r>
                        </w:p>
                        <w:p w14:paraId="1D1C2FB4" w14:textId="77777777" w:rsidR="00323FBC" w:rsidRDefault="002952DD">
                          <w:pPr>
                            <w:pStyle w:val="P68B1DB1-Fuzeile7"/>
                          </w:pPr>
                          <w:r w:rsidRPr="003645EF">
                            <w:rPr>
                              <w:lang w:val="en-US"/>
                            </w:rPr>
                            <w:t xml:space="preserve">Registered office of the company: Duisburg, Register court: Duisburg HR B 9326-ID No. </w:t>
                          </w:r>
                          <w:r>
                            <w:t>DE 812 178 585</w:t>
                          </w:r>
                        </w:p>
                        <w:p w14:paraId="39E30B38" w14:textId="77777777" w:rsidR="00323FBC" w:rsidRDefault="00323FBC">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323FBC" w:rsidRDefault="002952DD">
                    <w:pPr>
                      <w:pStyle w:val="P68B1DB1-Fuzeile7"/>
                    </w:pPr>
                    <w:r>
                      <w:t>thyssenkrupp Steel Europe AG, Kaiser-Wilhelm-Strasse 100, 47166 Duisburg, Germany, T: +49 203 52 -25168, press-steel@thyssenkrupp.com, www.thyssenkrupp-steel.com</w:t>
                    </w:r>
                  </w:p>
                  <w:p w14:paraId="4D62FA82" w14:textId="77777777" w:rsidR="00323FBC" w:rsidRPr="003645EF" w:rsidRDefault="002952DD">
                    <w:pPr>
                      <w:pStyle w:val="P68B1DB1-Fuzeile7"/>
                      <w:rPr>
                        <w:lang w:val="en-US"/>
                      </w:rPr>
                    </w:pPr>
                    <w:r w:rsidRPr="003645EF">
                      <w:rPr>
                        <w:lang w:val="en-US"/>
                      </w:rPr>
                      <w:t>Chairman of the Supervisory Board: Sigmar Gabriel</w:t>
                    </w:r>
                  </w:p>
                  <w:p w14:paraId="6ACE30E2" w14:textId="77777777" w:rsidR="00323FBC" w:rsidRPr="002952DD" w:rsidRDefault="002952DD">
                    <w:pPr>
                      <w:pStyle w:val="Fuzeile"/>
                      <w:rPr>
                        <w:lang w:val="en-US"/>
                      </w:rPr>
                    </w:pPr>
                    <w:r w:rsidRPr="003645EF">
                      <w:rPr>
                        <w:rFonts w:asciiTheme="majorHAnsi" w:hAnsiTheme="majorHAnsi"/>
                        <w:lang w:val="en-US"/>
                      </w:rPr>
                      <w:t xml:space="preserve">Executive Board: Bernhard Osburg, Chief Executive Officer; </w:t>
                    </w:r>
                    <w:r w:rsidRPr="003645EF">
                      <w:rPr>
                        <w:lang w:val="en-US"/>
                      </w:rPr>
                      <w:t xml:space="preserve">Philipp Conze, Dr.-Ing. </w:t>
                    </w:r>
                    <w:r w:rsidRPr="002952DD">
                      <w:rPr>
                        <w:lang w:val="en-US"/>
                      </w:rPr>
                      <w:t>Heike Denecke-Arnold, Markus Grolms, Dr.-Ing. Arnd Köfler</w:t>
                    </w:r>
                  </w:p>
                  <w:p w14:paraId="1D1C2FB4" w14:textId="77777777" w:rsidR="00323FBC" w:rsidRDefault="002952DD">
                    <w:pPr>
                      <w:pStyle w:val="P68B1DB1-Fuzeile7"/>
                    </w:pPr>
                    <w:r w:rsidRPr="003645EF">
                      <w:rPr>
                        <w:lang w:val="en-US"/>
                      </w:rPr>
                      <w:t xml:space="preserve">Registered office of the company: Duisburg, Register court: Duisburg HR B 9326-ID No. </w:t>
                    </w:r>
                    <w:r>
                      <w:t>DE 812 178 585</w:t>
                    </w:r>
                  </w:p>
                  <w:p w14:paraId="39E30B38" w14:textId="77777777" w:rsidR="00323FBC" w:rsidRDefault="00323FBC">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34F5" w14:textId="77777777" w:rsidR="002F1167" w:rsidRDefault="002F1167">
      <w:pPr>
        <w:spacing w:line="240" w:lineRule="auto"/>
      </w:pPr>
      <w:r>
        <w:separator/>
      </w:r>
    </w:p>
  </w:footnote>
  <w:footnote w:type="continuationSeparator" w:id="0">
    <w:p w14:paraId="4577B7B0" w14:textId="77777777" w:rsidR="002F1167" w:rsidRDefault="002F1167">
      <w:pPr>
        <w:spacing w:line="240" w:lineRule="auto"/>
      </w:pPr>
      <w:r>
        <w:continuationSeparator/>
      </w:r>
    </w:p>
  </w:footnote>
  <w:footnote w:type="continuationNotice" w:id="1">
    <w:p w14:paraId="4305306D" w14:textId="77777777" w:rsidR="002F1167" w:rsidRDefault="002F11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323FBC" w:rsidRDefault="002952DD">
    <w:pPr>
      <w:pStyle w:val="Kopfzeile"/>
      <w:spacing w:after="870" w:line="280" w:lineRule="atLeast"/>
    </w:pPr>
    <w:r>
      <w:rPr>
        <w:noProof/>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993752151" name="Grafik 99375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46A4CB6C" w:rsidR="00323FBC" w:rsidRDefault="00000000">
                          <w:pPr>
                            <w:pStyle w:val="Datumsangabe"/>
                          </w:pPr>
                          <w:fldSimple w:instr=" STYLEREF  Datumsangabe  \* MERGEFORMAT ">
                            <w:r w:rsidR="001D0C3C">
                              <w:rPr>
                                <w:noProof/>
                              </w:rPr>
                              <w:t>April 11, 2024</w:t>
                            </w:r>
                          </w:fldSimple>
                        </w:p>
                        <w:p w14:paraId="1A3143B4" w14:textId="77777777" w:rsidR="00323FBC" w:rsidRDefault="002952DD">
                          <w:pPr>
                            <w:pStyle w:val="Seitenzahlangabe"/>
                          </w:pPr>
                          <w:r>
                            <w:t xml:space="preserve">Page </w:t>
                          </w:r>
                          <w:r>
                            <w:fldChar w:fldCharType="begin"/>
                          </w:r>
                          <w:r>
                            <w:instrText xml:space="preserve"> PAGE   \* MERGEFORMAT </w:instrText>
                          </w:r>
                          <w:r>
                            <w:fldChar w:fldCharType="separate"/>
                          </w:r>
                          <w:r>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46A4CB6C" w:rsidR="00323FBC" w:rsidRDefault="00000000">
                    <w:pPr>
                      <w:pStyle w:val="Datumsangabe"/>
                    </w:pPr>
                    <w:fldSimple w:instr=" STYLEREF  Datumsangabe  \* MERGEFORMAT ">
                      <w:r w:rsidR="001D0C3C">
                        <w:rPr>
                          <w:noProof/>
                        </w:rPr>
                        <w:t>April 11, 2024</w:t>
                      </w:r>
                    </w:fldSimple>
                  </w:p>
                  <w:p w14:paraId="1A3143B4" w14:textId="77777777" w:rsidR="00323FBC" w:rsidRDefault="002952DD">
                    <w:pPr>
                      <w:pStyle w:val="Seitenzahlangabe"/>
                    </w:pPr>
                    <w:r>
                      <w:t xml:space="preserve">Page </w:t>
                    </w:r>
                    <w:r>
                      <w:fldChar w:fldCharType="begin"/>
                    </w:r>
                    <w:r>
                      <w:instrText xml:space="preserve"> PAGE   \* MERGEFORMAT </w:instrText>
                    </w:r>
                    <w:r>
                      <w:fldChar w:fldCharType="separate"/>
                    </w:r>
                    <w:r>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323FBC" w:rsidRDefault="002952DD">
    <w:pPr>
      <w:pStyle w:val="Kopfzeile"/>
    </w:pPr>
    <w:r>
      <w:rPr>
        <w:noProof/>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1154907102" name="Grafik 115490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pt;height:3.6pt" o:bullet="t">
        <v:imagedata r:id="rId1" o:title="Bullet_blau_RGB_klein"/>
      </v:shape>
    </w:pict>
  </w:numPicBullet>
  <w:numPicBullet w:numPicBulletId="1">
    <w:pict>
      <v:shape id="_x0000_i1035" type="#_x0000_t75" style="width:3.6pt;height:3.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29DC4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85C"/>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629"/>
    <w:rsid w:val="00047BF9"/>
    <w:rsid w:val="00056719"/>
    <w:rsid w:val="00056B18"/>
    <w:rsid w:val="0006281E"/>
    <w:rsid w:val="000659DC"/>
    <w:rsid w:val="00065D3B"/>
    <w:rsid w:val="00066F56"/>
    <w:rsid w:val="000677D4"/>
    <w:rsid w:val="00067B08"/>
    <w:rsid w:val="00073755"/>
    <w:rsid w:val="0007770A"/>
    <w:rsid w:val="00085CC6"/>
    <w:rsid w:val="000863C5"/>
    <w:rsid w:val="00093B1A"/>
    <w:rsid w:val="00097807"/>
    <w:rsid w:val="000A3C08"/>
    <w:rsid w:val="000A40CF"/>
    <w:rsid w:val="000B07A1"/>
    <w:rsid w:val="000B6A80"/>
    <w:rsid w:val="000D312E"/>
    <w:rsid w:val="000D4D6C"/>
    <w:rsid w:val="000D5867"/>
    <w:rsid w:val="000D7645"/>
    <w:rsid w:val="000E4564"/>
    <w:rsid w:val="000E478B"/>
    <w:rsid w:val="000F62A0"/>
    <w:rsid w:val="00102C50"/>
    <w:rsid w:val="001306E1"/>
    <w:rsid w:val="001364F9"/>
    <w:rsid w:val="00137A1B"/>
    <w:rsid w:val="00142A34"/>
    <w:rsid w:val="0014474F"/>
    <w:rsid w:val="001451D3"/>
    <w:rsid w:val="00146600"/>
    <w:rsid w:val="00147C10"/>
    <w:rsid w:val="001553C0"/>
    <w:rsid w:val="00162A87"/>
    <w:rsid w:val="00165354"/>
    <w:rsid w:val="00166977"/>
    <w:rsid w:val="00174160"/>
    <w:rsid w:val="0017592A"/>
    <w:rsid w:val="001769C1"/>
    <w:rsid w:val="00185574"/>
    <w:rsid w:val="001861FA"/>
    <w:rsid w:val="001918E3"/>
    <w:rsid w:val="001958FF"/>
    <w:rsid w:val="001974EF"/>
    <w:rsid w:val="001A259A"/>
    <w:rsid w:val="001A65FD"/>
    <w:rsid w:val="001A69BC"/>
    <w:rsid w:val="001A6CD7"/>
    <w:rsid w:val="001B118B"/>
    <w:rsid w:val="001B1643"/>
    <w:rsid w:val="001B235F"/>
    <w:rsid w:val="001B5D61"/>
    <w:rsid w:val="001C001F"/>
    <w:rsid w:val="001C031C"/>
    <w:rsid w:val="001C5486"/>
    <w:rsid w:val="001D0C3C"/>
    <w:rsid w:val="001E125C"/>
    <w:rsid w:val="001E36C6"/>
    <w:rsid w:val="001E7E0A"/>
    <w:rsid w:val="001F2570"/>
    <w:rsid w:val="001F51C6"/>
    <w:rsid w:val="002020D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120"/>
    <w:rsid w:val="00275D79"/>
    <w:rsid w:val="00277B27"/>
    <w:rsid w:val="00285124"/>
    <w:rsid w:val="002952DD"/>
    <w:rsid w:val="00297160"/>
    <w:rsid w:val="00297DC4"/>
    <w:rsid w:val="002A0C91"/>
    <w:rsid w:val="002A3A5A"/>
    <w:rsid w:val="002A46D3"/>
    <w:rsid w:val="002A47F9"/>
    <w:rsid w:val="002B1779"/>
    <w:rsid w:val="002B2C68"/>
    <w:rsid w:val="002C0A5C"/>
    <w:rsid w:val="002C62A1"/>
    <w:rsid w:val="002D1B27"/>
    <w:rsid w:val="002D4C67"/>
    <w:rsid w:val="002E2CC9"/>
    <w:rsid w:val="002E3C86"/>
    <w:rsid w:val="002E6379"/>
    <w:rsid w:val="002F1167"/>
    <w:rsid w:val="002F52AB"/>
    <w:rsid w:val="00304A38"/>
    <w:rsid w:val="00311793"/>
    <w:rsid w:val="00315E81"/>
    <w:rsid w:val="003176DB"/>
    <w:rsid w:val="00323E6F"/>
    <w:rsid w:val="00323FBC"/>
    <w:rsid w:val="003243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45EF"/>
    <w:rsid w:val="00366EA6"/>
    <w:rsid w:val="00367CF8"/>
    <w:rsid w:val="00372E6F"/>
    <w:rsid w:val="00374CE1"/>
    <w:rsid w:val="0038047C"/>
    <w:rsid w:val="00381121"/>
    <w:rsid w:val="003857D6"/>
    <w:rsid w:val="00386EDA"/>
    <w:rsid w:val="00394191"/>
    <w:rsid w:val="0039557F"/>
    <w:rsid w:val="003A2163"/>
    <w:rsid w:val="003A3CFA"/>
    <w:rsid w:val="003A578A"/>
    <w:rsid w:val="003A61FC"/>
    <w:rsid w:val="003B10F1"/>
    <w:rsid w:val="003B1E7E"/>
    <w:rsid w:val="003B516D"/>
    <w:rsid w:val="003C3F58"/>
    <w:rsid w:val="003F068A"/>
    <w:rsid w:val="003F1CCB"/>
    <w:rsid w:val="00402E5D"/>
    <w:rsid w:val="00411589"/>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AF0"/>
    <w:rsid w:val="004F3F4D"/>
    <w:rsid w:val="004F603C"/>
    <w:rsid w:val="005028EC"/>
    <w:rsid w:val="00502CE9"/>
    <w:rsid w:val="005038CB"/>
    <w:rsid w:val="00504FD0"/>
    <w:rsid w:val="0050798B"/>
    <w:rsid w:val="005141A7"/>
    <w:rsid w:val="00514B51"/>
    <w:rsid w:val="00515661"/>
    <w:rsid w:val="005159E6"/>
    <w:rsid w:val="005252DF"/>
    <w:rsid w:val="0052707C"/>
    <w:rsid w:val="00527BDE"/>
    <w:rsid w:val="00530A6C"/>
    <w:rsid w:val="00530EEE"/>
    <w:rsid w:val="0053102F"/>
    <w:rsid w:val="00531187"/>
    <w:rsid w:val="00531474"/>
    <w:rsid w:val="0053181D"/>
    <w:rsid w:val="005356B9"/>
    <w:rsid w:val="00535977"/>
    <w:rsid w:val="00540C6E"/>
    <w:rsid w:val="00543C8F"/>
    <w:rsid w:val="00544BC4"/>
    <w:rsid w:val="00556640"/>
    <w:rsid w:val="00557D40"/>
    <w:rsid w:val="005623E6"/>
    <w:rsid w:val="00562ACC"/>
    <w:rsid w:val="00563A68"/>
    <w:rsid w:val="00563A7F"/>
    <w:rsid w:val="00564077"/>
    <w:rsid w:val="00566AF0"/>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DAC"/>
    <w:rsid w:val="006E553B"/>
    <w:rsid w:val="006E5B34"/>
    <w:rsid w:val="006F5AA5"/>
    <w:rsid w:val="006F5FFF"/>
    <w:rsid w:val="007065C5"/>
    <w:rsid w:val="00710D9D"/>
    <w:rsid w:val="007226A9"/>
    <w:rsid w:val="00724EF3"/>
    <w:rsid w:val="00734FC4"/>
    <w:rsid w:val="00741236"/>
    <w:rsid w:val="00741356"/>
    <w:rsid w:val="00743CA5"/>
    <w:rsid w:val="00746FED"/>
    <w:rsid w:val="00747986"/>
    <w:rsid w:val="00755DC2"/>
    <w:rsid w:val="00777040"/>
    <w:rsid w:val="00781610"/>
    <w:rsid w:val="00782FD3"/>
    <w:rsid w:val="00783965"/>
    <w:rsid w:val="00785030"/>
    <w:rsid w:val="00787F97"/>
    <w:rsid w:val="00794520"/>
    <w:rsid w:val="007B21C7"/>
    <w:rsid w:val="007B7169"/>
    <w:rsid w:val="007C2073"/>
    <w:rsid w:val="007C45CE"/>
    <w:rsid w:val="007C6F64"/>
    <w:rsid w:val="007C7824"/>
    <w:rsid w:val="007D2DC3"/>
    <w:rsid w:val="007D3550"/>
    <w:rsid w:val="007E52ED"/>
    <w:rsid w:val="007E61E3"/>
    <w:rsid w:val="007F23AC"/>
    <w:rsid w:val="007F581D"/>
    <w:rsid w:val="00800C41"/>
    <w:rsid w:val="00804B5A"/>
    <w:rsid w:val="00806FFB"/>
    <w:rsid w:val="00810089"/>
    <w:rsid w:val="00817BA6"/>
    <w:rsid w:val="008229FE"/>
    <w:rsid w:val="0082487B"/>
    <w:rsid w:val="0083279D"/>
    <w:rsid w:val="00841D01"/>
    <w:rsid w:val="00847877"/>
    <w:rsid w:val="00855504"/>
    <w:rsid w:val="008557F5"/>
    <w:rsid w:val="0085632E"/>
    <w:rsid w:val="00862A37"/>
    <w:rsid w:val="0086617F"/>
    <w:rsid w:val="00874877"/>
    <w:rsid w:val="0087668E"/>
    <w:rsid w:val="008A0368"/>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1CAD"/>
    <w:rsid w:val="00945837"/>
    <w:rsid w:val="00953B45"/>
    <w:rsid w:val="00953DA0"/>
    <w:rsid w:val="00956737"/>
    <w:rsid w:val="00957075"/>
    <w:rsid w:val="0096423A"/>
    <w:rsid w:val="00970386"/>
    <w:rsid w:val="009772C9"/>
    <w:rsid w:val="0098312D"/>
    <w:rsid w:val="00986AB1"/>
    <w:rsid w:val="0099520D"/>
    <w:rsid w:val="009A2335"/>
    <w:rsid w:val="009A2DBC"/>
    <w:rsid w:val="009B014F"/>
    <w:rsid w:val="009B30C3"/>
    <w:rsid w:val="009B57CB"/>
    <w:rsid w:val="009B6480"/>
    <w:rsid w:val="009B6F32"/>
    <w:rsid w:val="009B72A2"/>
    <w:rsid w:val="009C0496"/>
    <w:rsid w:val="009C0EFE"/>
    <w:rsid w:val="009C4759"/>
    <w:rsid w:val="009C7BAD"/>
    <w:rsid w:val="009D2BE0"/>
    <w:rsid w:val="009E21B5"/>
    <w:rsid w:val="009F0142"/>
    <w:rsid w:val="009F1C0D"/>
    <w:rsid w:val="009F576B"/>
    <w:rsid w:val="00A14FF4"/>
    <w:rsid w:val="00A16F76"/>
    <w:rsid w:val="00A24D50"/>
    <w:rsid w:val="00A3585F"/>
    <w:rsid w:val="00A429FE"/>
    <w:rsid w:val="00A51FAE"/>
    <w:rsid w:val="00A54D62"/>
    <w:rsid w:val="00A54FA1"/>
    <w:rsid w:val="00A56A1B"/>
    <w:rsid w:val="00A57961"/>
    <w:rsid w:val="00A64592"/>
    <w:rsid w:val="00A658EA"/>
    <w:rsid w:val="00A67B90"/>
    <w:rsid w:val="00A70C82"/>
    <w:rsid w:val="00A70ED2"/>
    <w:rsid w:val="00A76E1C"/>
    <w:rsid w:val="00A915C0"/>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19E3"/>
    <w:rsid w:val="00B1223E"/>
    <w:rsid w:val="00B147E8"/>
    <w:rsid w:val="00B20F38"/>
    <w:rsid w:val="00B304A9"/>
    <w:rsid w:val="00B55BDD"/>
    <w:rsid w:val="00B56DC4"/>
    <w:rsid w:val="00B579A7"/>
    <w:rsid w:val="00B60784"/>
    <w:rsid w:val="00B61DEE"/>
    <w:rsid w:val="00B70BF6"/>
    <w:rsid w:val="00B745BC"/>
    <w:rsid w:val="00B77C8B"/>
    <w:rsid w:val="00B820A5"/>
    <w:rsid w:val="00B841AF"/>
    <w:rsid w:val="00B846E0"/>
    <w:rsid w:val="00B8501B"/>
    <w:rsid w:val="00B85819"/>
    <w:rsid w:val="00B87D83"/>
    <w:rsid w:val="00B9508B"/>
    <w:rsid w:val="00B97794"/>
    <w:rsid w:val="00B97E56"/>
    <w:rsid w:val="00BA5D77"/>
    <w:rsid w:val="00BC231C"/>
    <w:rsid w:val="00BC760A"/>
    <w:rsid w:val="00BD0883"/>
    <w:rsid w:val="00BD3EE5"/>
    <w:rsid w:val="00BD4078"/>
    <w:rsid w:val="00BD5051"/>
    <w:rsid w:val="00C01794"/>
    <w:rsid w:val="00C07A8B"/>
    <w:rsid w:val="00C124EF"/>
    <w:rsid w:val="00C15717"/>
    <w:rsid w:val="00C244F4"/>
    <w:rsid w:val="00C30C7B"/>
    <w:rsid w:val="00C3733B"/>
    <w:rsid w:val="00C444D8"/>
    <w:rsid w:val="00C50779"/>
    <w:rsid w:val="00C61CF1"/>
    <w:rsid w:val="00C62F60"/>
    <w:rsid w:val="00C73BC2"/>
    <w:rsid w:val="00C73D52"/>
    <w:rsid w:val="00C85FA8"/>
    <w:rsid w:val="00C93B52"/>
    <w:rsid w:val="00CA06E8"/>
    <w:rsid w:val="00CA344E"/>
    <w:rsid w:val="00CA4CEB"/>
    <w:rsid w:val="00CB1486"/>
    <w:rsid w:val="00CB1C0C"/>
    <w:rsid w:val="00CB4F7F"/>
    <w:rsid w:val="00CC0F49"/>
    <w:rsid w:val="00CC6364"/>
    <w:rsid w:val="00CC7769"/>
    <w:rsid w:val="00CD4852"/>
    <w:rsid w:val="00CE0E65"/>
    <w:rsid w:val="00CE1ACD"/>
    <w:rsid w:val="00CE59D8"/>
    <w:rsid w:val="00CE7429"/>
    <w:rsid w:val="00CF0342"/>
    <w:rsid w:val="00CF2376"/>
    <w:rsid w:val="00CF3250"/>
    <w:rsid w:val="00D003F8"/>
    <w:rsid w:val="00D01FFB"/>
    <w:rsid w:val="00D070AE"/>
    <w:rsid w:val="00D074F2"/>
    <w:rsid w:val="00D17AD6"/>
    <w:rsid w:val="00D23BBF"/>
    <w:rsid w:val="00D241AC"/>
    <w:rsid w:val="00D245E2"/>
    <w:rsid w:val="00D25937"/>
    <w:rsid w:val="00D300FB"/>
    <w:rsid w:val="00D3118B"/>
    <w:rsid w:val="00D32D04"/>
    <w:rsid w:val="00D335B3"/>
    <w:rsid w:val="00D42B7D"/>
    <w:rsid w:val="00D503B9"/>
    <w:rsid w:val="00D50499"/>
    <w:rsid w:val="00D53B82"/>
    <w:rsid w:val="00D55104"/>
    <w:rsid w:val="00D5559E"/>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4E8"/>
    <w:rsid w:val="00DD114E"/>
    <w:rsid w:val="00DD3094"/>
    <w:rsid w:val="00DD5F4F"/>
    <w:rsid w:val="00DE2408"/>
    <w:rsid w:val="00DE50C7"/>
    <w:rsid w:val="00DE6408"/>
    <w:rsid w:val="00E00269"/>
    <w:rsid w:val="00E03946"/>
    <w:rsid w:val="00E051BE"/>
    <w:rsid w:val="00E1377C"/>
    <w:rsid w:val="00E20C1F"/>
    <w:rsid w:val="00E25A1D"/>
    <w:rsid w:val="00E27D5E"/>
    <w:rsid w:val="00E3039A"/>
    <w:rsid w:val="00E35499"/>
    <w:rsid w:val="00E46B80"/>
    <w:rsid w:val="00E46E37"/>
    <w:rsid w:val="00E46E95"/>
    <w:rsid w:val="00E4799A"/>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EF3579"/>
    <w:rsid w:val="00F020CA"/>
    <w:rsid w:val="00F023D0"/>
    <w:rsid w:val="00F03965"/>
    <w:rsid w:val="00F039DE"/>
    <w:rsid w:val="00F03E65"/>
    <w:rsid w:val="00F048A2"/>
    <w:rsid w:val="00F1188E"/>
    <w:rsid w:val="00F11918"/>
    <w:rsid w:val="00F11E19"/>
    <w:rsid w:val="00F13F4B"/>
    <w:rsid w:val="00F22FC8"/>
    <w:rsid w:val="00F246D2"/>
    <w:rsid w:val="00F257A0"/>
    <w:rsid w:val="00F2603B"/>
    <w:rsid w:val="00F3073C"/>
    <w:rsid w:val="00F31AA9"/>
    <w:rsid w:val="00F333B2"/>
    <w:rsid w:val="00F4093A"/>
    <w:rsid w:val="00F51811"/>
    <w:rsid w:val="00F5603C"/>
    <w:rsid w:val="00F67BFF"/>
    <w:rsid w:val="00F73E27"/>
    <w:rsid w:val="00F91689"/>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color w:val="000066"/>
      <w:sz w:val="32"/>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color w:val="000000"/>
      <w:sz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color w:val="000066"/>
      <w:sz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color w:val="000066"/>
      <w:sz w:val="32"/>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position w:val="2"/>
      <w:sz w:val="24"/>
    </w:rPr>
  </w:style>
  <w:style w:type="character" w:customStyle="1" w:styleId="SectionHeaderChar">
    <w:name w:val="Section Header Char"/>
    <w:basedOn w:val="Absatz-Standardschriftart"/>
    <w:link w:val="SectionHeader"/>
    <w:rsid w:val="004D4520"/>
    <w:rPr>
      <w:rFonts w:eastAsia="PMingLiU" w:cstheme="minorHAnsi"/>
      <w:b/>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sz w:val="16"/>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z w:val="14"/>
    </w:rPr>
  </w:style>
  <w:style w:type="paragraph" w:customStyle="1" w:styleId="Funktionstitel">
    <w:name w:val="Funktionstitel"/>
    <w:basedOn w:val="Standard"/>
    <w:rsid w:val="00CE1ACD"/>
    <w:pPr>
      <w:spacing w:line="200" w:lineRule="atLeast"/>
      <w:ind w:left="6"/>
    </w:pPr>
    <w:rPr>
      <w:color w:val="00A0F5" w:themeColor="accent1"/>
      <w:sz w:val="14"/>
    </w:rPr>
  </w:style>
  <w:style w:type="paragraph" w:customStyle="1" w:styleId="Datumsangabe">
    <w:name w:val="Datumsangabe"/>
    <w:basedOn w:val="Funktionstitel"/>
    <w:qFormat/>
    <w:rsid w:val="00A70ED2"/>
    <w:rPr>
      <w:color w:val="000000" w:themeColor="text1"/>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kern w:val="28"/>
      <w:sz w:val="28"/>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kern w:val="28"/>
      <w:sz w:val="28"/>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rPr>
  </w:style>
  <w:style w:type="paragraph" w:styleId="NurText">
    <w:name w:val="Plain Text"/>
    <w:basedOn w:val="Standard"/>
    <w:link w:val="NurTextZchn"/>
    <w:uiPriority w:val="99"/>
    <w:unhideWhenUsed/>
    <w:rsid w:val="00285124"/>
    <w:pPr>
      <w:spacing w:line="240" w:lineRule="auto"/>
    </w:pPr>
    <w:rPr>
      <w:rFonts w:ascii="Arial" w:hAnsi="Arial"/>
      <w:color w:val="auto"/>
    </w:rPr>
  </w:style>
  <w:style w:type="character" w:customStyle="1" w:styleId="NurTextZchn">
    <w:name w:val="Nur Text Zchn"/>
    <w:basedOn w:val="Absatz-Standardschriftart"/>
    <w:link w:val="NurText"/>
    <w:uiPriority w:val="99"/>
    <w:rsid w:val="00285124"/>
    <w:rPr>
      <w:rFonts w:ascii="Arial" w:hAnsi="Arial"/>
      <w:sz w:val="20"/>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rPr>
  </w:style>
  <w:style w:type="paragraph" w:customStyle="1" w:styleId="xmsonormal">
    <w:name w:val="x_msonormal"/>
    <w:basedOn w:val="Standard"/>
    <w:rsid w:val="00747986"/>
    <w:pPr>
      <w:spacing w:line="240" w:lineRule="auto"/>
    </w:pPr>
    <w:rPr>
      <w:rFonts w:ascii="Calibri" w:hAnsi="Calibri" w:cs="Calibri"/>
      <w:color w:val="auto"/>
      <w:sz w:val="22"/>
    </w:rPr>
  </w:style>
  <w:style w:type="paragraph" w:customStyle="1" w:styleId="P68B1DB1-StandardWeb11">
    <w:name w:val="P68B1DB1-StandardWeb11"/>
    <w:basedOn w:val="StandardWeb1"/>
    <w:rPr>
      <w:rFonts w:ascii="TKTypeRegular" w:hAnsi="TKTypeRegular"/>
      <w:b/>
      <w:sz w:val="20"/>
    </w:rPr>
  </w:style>
  <w:style w:type="paragraph" w:customStyle="1" w:styleId="P68B1DB1-Listenabsatz2">
    <w:name w:val="P68B1DB1-Listenabsatz2"/>
    <w:basedOn w:val="Listenabsatz"/>
    <w:rPr>
      <w:rFonts w:ascii="TKTypeRegular" w:hAnsi="TKTypeRegular"/>
    </w:rPr>
  </w:style>
  <w:style w:type="paragraph" w:customStyle="1" w:styleId="P68B1DB1-Standard3">
    <w:name w:val="P68B1DB1-Standard3"/>
    <w:basedOn w:val="Standard"/>
    <w:rPr>
      <w:rFonts w:ascii="TKTypeRegular" w:hAnsi="TKTypeRegular"/>
    </w:rPr>
  </w:style>
  <w:style w:type="paragraph" w:customStyle="1" w:styleId="P68B1DB1-StandardWeb14">
    <w:name w:val="P68B1DB1-StandardWeb14"/>
    <w:basedOn w:val="StandardWeb1"/>
    <w:rPr>
      <w:rFonts w:asciiTheme="majorHAnsi" w:hAnsiTheme="majorHAnsi"/>
      <w:sz w:val="20"/>
    </w:rPr>
  </w:style>
  <w:style w:type="paragraph" w:customStyle="1" w:styleId="P68B1DB1-Standard5">
    <w:name w:val="P68B1DB1-Standard5"/>
    <w:basedOn w:val="Standard"/>
    <w:rPr>
      <w:rFonts w:asciiTheme="majorHAnsi" w:hAnsiTheme="majorHAnsi"/>
    </w:rPr>
  </w:style>
  <w:style w:type="paragraph" w:customStyle="1" w:styleId="P68B1DB1-Standard6">
    <w:name w:val="P68B1DB1-Standard6"/>
    <w:basedOn w:val="Standard"/>
    <w:rPr>
      <w:rFonts w:asciiTheme="majorHAnsi" w:hAnsi="Arial"/>
    </w:rPr>
  </w:style>
  <w:style w:type="paragraph" w:customStyle="1" w:styleId="P68B1DB1-Fuzeile7">
    <w:name w:val="P68B1DB1-Fuzeile7"/>
    <w:basedOn w:val="Fuzeile"/>
    <w:rPr>
      <w:rFonts w:asciiTheme="majorHAnsi" w:hAnsiTheme="majorHAnsi"/>
    </w:rPr>
  </w:style>
  <w:style w:type="paragraph" w:styleId="berarbeitung">
    <w:name w:val="Revision"/>
    <w:hidden/>
    <w:uiPriority w:val="99"/>
    <w:semiHidden/>
    <w:rsid w:val="00C244F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89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5E00-E66D-40B2-8120-83184CB610C2}">
  <ds:schemaRefs>
    <ds:schemaRef ds:uri="http://schemas.microsoft.com/sharepoint/v3/contenttype/forms"/>
  </ds:schemaRefs>
</ds:datastoreItem>
</file>

<file path=customXml/itemProps2.xml><?xml version="1.0" encoding="utf-8"?>
<ds:datastoreItem xmlns:ds="http://schemas.openxmlformats.org/officeDocument/2006/customXml" ds:itemID="{B7D57B6D-50D6-44F9-A332-15C3A303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3631</Characters>
  <Application>Microsoft Office Word</Application>
  <DocSecurity>0</DocSecurity>
  <Lines>69</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de-us</dc:subject>
  <dc:creator>Marco Schaadt</dc:creator>
  <cp:lastModifiedBy>Drüppel-Fink, Claudia</cp:lastModifiedBy>
  <cp:revision>6</cp:revision>
  <cp:lastPrinted>2024-04-11T19:47:00Z</cp:lastPrinted>
  <dcterms:created xsi:type="dcterms:W3CDTF">2024-04-11T19:16:00Z</dcterms:created>
  <dcterms:modified xsi:type="dcterms:W3CDTF">2024-04-11T19:47:00Z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